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7FE0" w14:textId="26422077" w:rsidR="006B30F8" w:rsidRPr="004512B3" w:rsidRDefault="006B30F8" w:rsidP="004512B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Додаток </w:t>
      </w:r>
      <w:r w:rsidR="004512B3" w:rsidRPr="004512B3">
        <w:rPr>
          <w:rFonts w:ascii="Times New Roman" w:hAnsi="Times New Roman"/>
          <w:sz w:val="28"/>
          <w:szCs w:val="24"/>
          <w:lang w:val="uk-UA" w:eastAsia="ar-SA"/>
        </w:rPr>
        <w:t>2</w:t>
      </w:r>
    </w:p>
    <w:p w14:paraId="5152107B" w14:textId="4647E901" w:rsidR="006B30F8" w:rsidRPr="004512B3" w:rsidRDefault="006B30F8" w:rsidP="004512B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Затверджено </w:t>
      </w:r>
    </w:p>
    <w:p w14:paraId="4FC2B34A" w14:textId="56DDB55F" w:rsidR="006B30F8" w:rsidRPr="004512B3" w:rsidRDefault="006B30F8" w:rsidP="004512B3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Розпорядження голови </w:t>
      </w:r>
      <w:proofErr w:type="spellStart"/>
      <w:r w:rsidRPr="004512B3">
        <w:rPr>
          <w:rFonts w:ascii="Times New Roman" w:hAnsi="Times New Roman"/>
          <w:sz w:val="28"/>
          <w:szCs w:val="24"/>
          <w:lang w:val="uk-UA" w:eastAsia="ar-SA"/>
        </w:rPr>
        <w:t>Боратинської</w:t>
      </w:r>
      <w:proofErr w:type="spellEnd"/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 сільської ради від 18 травня 2020 року № 66/1.2</w:t>
      </w:r>
    </w:p>
    <w:p w14:paraId="5A80F6D0" w14:textId="77777777" w:rsidR="006B30F8" w:rsidRDefault="006B30F8" w:rsidP="004512B3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p w14:paraId="12722498" w14:textId="77777777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2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Правила</w:t>
      </w:r>
    </w:p>
    <w:p w14:paraId="581C8B8A" w14:textId="462CBB98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1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утримання та експлуатації дитячих ігрових та спортивних майданчиків </w:t>
      </w:r>
      <w:r w:rsidRPr="004512B3">
        <w:rPr>
          <w:rFonts w:ascii="Times New Roman" w:hAnsi="Times New Roman" w:cs="Times New Roman"/>
          <w:sz w:val="28"/>
          <w:szCs w:val="28"/>
          <w:lang w:val="uk-UA"/>
        </w:rPr>
        <w:t xml:space="preserve">а також інших об’єктів відпочинку дітей на території населених пунктів </w:t>
      </w:r>
      <w:proofErr w:type="spellStart"/>
      <w:r w:rsidRPr="004512B3">
        <w:rPr>
          <w:rFonts w:ascii="Times New Roman" w:hAnsi="Times New Roman" w:cs="Times New Roman"/>
          <w:sz w:val="28"/>
          <w:szCs w:val="28"/>
          <w:lang w:val="uk-UA"/>
        </w:rPr>
        <w:t>Боратинської</w:t>
      </w:r>
      <w:proofErr w:type="spellEnd"/>
      <w:r w:rsidRPr="004512B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14:paraId="5A222132" w14:textId="77777777" w:rsid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6062DD" w14:textId="0464465D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b/>
          <w:sz w:val="28"/>
          <w:szCs w:val="28"/>
          <w:lang w:eastAsia="ru-RU"/>
        </w:rPr>
        <w:t>Визначення</w:t>
      </w:r>
      <w:proofErr w:type="spellEnd"/>
    </w:p>
    <w:p w14:paraId="0EBDA11D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A8D6F" w14:textId="77777777" w:rsidR="004512B3" w:rsidRP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Дитячий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ігровий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спортивний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далі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) -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предметно-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просторова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сфера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вільного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відпочинку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дозвілля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різних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вікових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A70A222" w14:textId="607503AC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BBC9F" w14:textId="14489F91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Введення</w:t>
      </w:r>
      <w:proofErr w:type="spellEnd"/>
    </w:p>
    <w:p w14:paraId="3BD001EB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ДБН Б.2.2-5:2011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6.8, 6.8.1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дитячі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організовують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вигляді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окремих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різних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вікових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як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комплексні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зонуванням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віковими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інтересами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підлітків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12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років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16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років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організовують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комплекси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спортивні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малими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архітектурними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формами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відпочинку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ігор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зайняття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спортом.</w:t>
      </w:r>
    </w:p>
    <w:p w14:paraId="35E66C6A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Дані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розроблені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ДБН Б.2.2-5:2011, Наказу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охорони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здоров’я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31.08.2009 № 653, «Правил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будови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безпечної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атракціонної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техніки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затверджених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наказом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01.03.2006 № 110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надзвичайних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ситуацій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gram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 справах</w:t>
      </w:r>
      <w:proofErr w:type="gram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населення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наслідків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Чорнобильської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катастрофи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D9E264" w14:textId="77777777" w:rsidR="004512B3" w:rsidRDefault="004512B3" w:rsidP="00451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F05E6" w14:textId="77777777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Розташування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безпечні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зони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9220DC9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7D1EE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Територія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встановлення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проектним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рішенням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вимогам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нормативно-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правових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стандартів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санітарних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будівельних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 і правил. </w:t>
      </w:r>
    </w:p>
    <w:p w14:paraId="51BD5F51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 абзацу</w:t>
      </w:r>
      <w:proofErr w:type="gram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першого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другого пункту 4.10 в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редакції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охорони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здоров’я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31.08.2009 № 653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дворові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території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мікрорайонів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озеленені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державних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стандартів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норм і правил, 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нормативно-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правових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сфері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містобудування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забезпечувати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різні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відпочинку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занять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всіх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населення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FE87AE" w14:textId="26D31A8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ізольовані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об'єктів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обслуговування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господарських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дворів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магістральних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вулиць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смугою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шириною не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менше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1,5 м і не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прохідними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пішоходів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транзитного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руху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транспорту. </w:t>
      </w:r>
    </w:p>
    <w:p w14:paraId="07A81593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Розміщення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дитячих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покрівлях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напівпідземних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наземних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споруд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забороняється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BE3B75" w14:textId="0855E8BB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Важливе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значення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екологічна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санітарна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Виключається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сусідство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забрудненими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водоймами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сміттєвими</w:t>
      </w:r>
      <w:proofErr w:type="spellEnd"/>
      <w:proofErr w:type="gram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  баками,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гаражами і т. д. </w:t>
      </w:r>
    </w:p>
    <w:p w14:paraId="14FBE520" w14:textId="15E73A6C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необхідності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дерев’яні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метал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еві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поверхні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відкриттям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завершення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зимового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періоду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необхідно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пофарбувати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Позачергові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огляди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проводяться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стихійного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лиха та 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інших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непередбачуваних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обставин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можуть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спричинити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пошкодження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Виявлені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пошкодження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виправляються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негайно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неможливо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обмежені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91CC80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Регулярний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візуальний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огляд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складається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виявлення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явної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небезпеки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внаслідок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вандалізму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неправильної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елементів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природних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умов.</w:t>
      </w:r>
    </w:p>
    <w:p w14:paraId="5A5F161A" w14:textId="12A872C4" w:rsidR="004512B3" w:rsidRPr="001715A4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Особливу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увагу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приділяти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збереженню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комплектності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структурній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цілісності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справності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стану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рухливих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частин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Результати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огляду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заносяться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в журнал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огляду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виявленні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невідповідності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встановленим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нормам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комплектуючих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частин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складається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акт, згідно з встановленою формою.</w:t>
      </w:r>
    </w:p>
    <w:p w14:paraId="0CDFC7DA" w14:textId="5D93BF6D" w:rsidR="004512B3" w:rsidRPr="001715A4" w:rsidRDefault="004512B3" w:rsidP="001715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15A4">
        <w:rPr>
          <w:rFonts w:ascii="Times New Roman" w:eastAsia="Times New Roman" w:hAnsi="Times New Roman"/>
          <w:sz w:val="28"/>
          <w:szCs w:val="28"/>
          <w:lang w:val="uk-UA" w:eastAsia="ru-RU"/>
        </w:rPr>
        <w:t>Огляди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майданчиків здійснюється </w:t>
      </w:r>
      <w:proofErr w:type="spellStart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Боратинською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сільською радою в особі </w:t>
      </w:r>
      <w:proofErr w:type="spellStart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Комісїі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715A4" w:rsidRPr="001715A4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обстеження технічного стану елементів обладнання дитячих і спортивних майданчиків та інших об’єктів відпочинку дітей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002B8F6" w14:textId="77777777" w:rsidR="004512B3" w:rsidRPr="001715A4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15A4">
        <w:rPr>
          <w:rFonts w:ascii="Times New Roman" w:eastAsia="Times New Roman" w:hAnsi="Times New Roman"/>
          <w:sz w:val="28"/>
          <w:szCs w:val="28"/>
          <w:lang w:val="uk-UA" w:eastAsia="ru-RU"/>
        </w:rPr>
        <w:t>Поточне обслуговування обладнання і поверхні майданчиків складається з попередніх заходів по підтриманню рівня безпеки та ефективності. Такі заходи повинні включати:</w:t>
      </w:r>
    </w:p>
    <w:p w14:paraId="037E62C7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скріплюючи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A0229F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перефарбування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фарбування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5CE328" w14:textId="5BEE73BB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амортизуючи</w:t>
      </w:r>
      <w:proofErr w:type="spellEnd"/>
      <w:r w:rsidR="00171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5A6C50" w14:textId="05C7E2C5" w:rsidR="004512B3" w:rsidRDefault="001715A4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належний рівень благоустрою</w:t>
      </w:r>
      <w:r w:rsidR="00451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F9E3A0" w14:textId="6611BBAE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171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9E2B32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підсипка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витоптаної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правильного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05D474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42EE5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Обслуговування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включає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себе заходи по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виправленню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дефектів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відновленню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необхідного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рівня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поверхонь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Такі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заходи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включають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477EF57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25C8E0" w14:textId="12A2DD11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</w:t>
      </w:r>
      <w:proofErr w:type="spellStart"/>
      <w:r w:rsidR="00171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82545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зношених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AB77D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BDEDC9" w14:textId="77777777" w:rsid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7F469" w14:textId="0BAD69F7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безпеки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поверхні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майданчика</w:t>
      </w:r>
      <w:proofErr w:type="spellEnd"/>
    </w:p>
    <w:p w14:paraId="4E48496B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56F94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дитячих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спортивних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наступним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вимогам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B065537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складові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частини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загальним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вимогам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заходам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встановлених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FFC74C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віковій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групі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8D5772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забезпечувати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дорослих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допомоги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усередині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608A08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допускати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скупчення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води на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поверхні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забезпечувати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вільний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стік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просихання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9C11AB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конструкція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забезпечувати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міцність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стійкість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твердість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просторову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незмінюваність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05ED93D" w14:textId="77777777" w:rsidR="004512B3" w:rsidRPr="004512B3" w:rsidRDefault="004512B3" w:rsidP="004512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наявність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виступаючих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елементів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гострими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кінцями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крайками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здатними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нанести травму не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допускається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8D01C2" w14:textId="77777777" w:rsidR="001715A4" w:rsidRDefault="001715A4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B4B88A" w14:textId="3A789500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падіння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слід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оснащувати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поручнями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огородженням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51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Обладнання має унеможливлювати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val="uk-UA" w:eastAsia="ru-RU"/>
        </w:rPr>
        <w:t>застря</w:t>
      </w:r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4512B3">
        <w:rPr>
          <w:rFonts w:ascii="Times New Roman" w:eastAsia="Times New Roman" w:hAnsi="Times New Roman"/>
          <w:sz w:val="28"/>
          <w:szCs w:val="28"/>
          <w:lang w:val="uk-UA" w:eastAsia="ru-RU"/>
        </w:rPr>
        <w:t>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тіла, частин тіла, пальців, волосся, одягу дитини, ґудзиків.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сходах,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доступним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дітям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трьох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років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поручні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обладнують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починаючи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першого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східця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183BB6" w14:textId="4007D778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Поверхня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повинна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вільна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будь-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яких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гострих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заточених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частин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виступів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Матеріали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незадовільними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пом’ягчуючими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властивостями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тільки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 зоною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приземлення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47B30C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val="uk-UA" w:eastAsia="ru-RU"/>
        </w:rPr>
        <w:t>Під час обстеження перевіряється комплектність, правильність та надійність зборки ігрових елементів, надійність кріплення до фундаментів, безпечність покриття майданчика, наявність технічного паспорту виробу.</w:t>
      </w:r>
    </w:p>
    <w:p w14:paraId="77AC9871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оформлення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прийомки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ній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закриті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239D48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58D4D" w14:textId="47D1606D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Забезпечення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безпечної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майданчиків</w:t>
      </w:r>
      <w:proofErr w:type="spellEnd"/>
    </w:p>
    <w:p w14:paraId="181A9B04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9AC56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Вимоги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дитячих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ігрових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спортивних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відповідати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5.14, 5.15 «Правил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будови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безпечної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атракціонної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техніки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затверджених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наказом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01.03.2006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110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Міністерства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надзвичайних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ситуацій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gram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 справах</w:t>
      </w:r>
      <w:proofErr w:type="gram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населення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наслідків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Чорнобильської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катастрофи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8D3AD5" w14:textId="7FFA7369" w:rsidR="004512B3" w:rsidRPr="001715A4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Загальні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планові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огляди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здійснюються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>Боратинською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сільською радою не рідше 1 разу на квартал.</w:t>
      </w:r>
    </w:p>
    <w:p w14:paraId="7F0A0D89" w14:textId="67CFC125" w:rsidR="004512B3" w:rsidRPr="004512B3" w:rsidRDefault="004512B3" w:rsidP="001715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Планові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огляди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заключаються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детальному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огляді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поверхонь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перевірки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надійності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Особлива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увага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приділяється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рухливим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елементам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тертям.</w:t>
      </w:r>
      <w:proofErr w:type="spellEnd"/>
      <w:r w:rsidR="0017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виявленні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серйозних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дефектів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ставлять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загрозу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безпеку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, вони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повинні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негайно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усунуті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B64B03" w14:textId="77777777" w:rsidR="004512B3" w:rsidRPr="004512B3" w:rsidRDefault="004512B3" w:rsidP="004512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рекомендовано, так як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можливе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травмування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обслуговуючого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персоналу  та</w:t>
      </w:r>
      <w:proofErr w:type="gram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присутніх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805ECF5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6606619" w14:textId="2F6FC588" w:rsidR="004512B3" w:rsidRPr="004512B3" w:rsidRDefault="004512B3" w:rsidP="0045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</w:t>
      </w:r>
      <w:proofErr w:type="spellEnd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рекомендації</w:t>
      </w:r>
      <w:proofErr w:type="spellEnd"/>
    </w:p>
    <w:p w14:paraId="0B398090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5BF9F" w14:textId="20C49997" w:rsidR="004512B3" w:rsidRPr="004512B3" w:rsidRDefault="004512B3" w:rsidP="004512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підвищення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рівня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безпечної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майданчиках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встановлюються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таблички,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попереджуюч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батьків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правила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експлуатації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вікових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особливостях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обладнання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951027" w14:textId="221DF01D" w:rsidR="004512B3" w:rsidRPr="004512B3" w:rsidRDefault="004512B3" w:rsidP="004512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серйозні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>пошкодження</w:t>
      </w:r>
      <w:proofErr w:type="spellEnd"/>
      <w:r w:rsidRPr="00451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поломки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майданчика слід повідомляти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старост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чи сільську раду, залежно від населеного пункту,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чкому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розташований майданчик.</w:t>
      </w:r>
    </w:p>
    <w:p w14:paraId="24997665" w14:textId="77777777" w:rsidR="004512B3" w:rsidRDefault="004512B3" w:rsidP="0045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510864" w14:textId="51ECB82D" w:rsidR="00E05C90" w:rsidRPr="004512B3" w:rsidRDefault="00E05C90" w:rsidP="004512B3">
      <w:pPr>
        <w:rPr>
          <w:rFonts w:ascii="Times New Roman" w:hAnsi="Times New Roman" w:cs="Times New Roman"/>
          <w:sz w:val="24"/>
          <w:lang w:val="uk-UA"/>
        </w:rPr>
      </w:pPr>
    </w:p>
    <w:sectPr w:rsidR="00E05C90" w:rsidRPr="00451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45F222E"/>
    <w:multiLevelType w:val="hybridMultilevel"/>
    <w:tmpl w:val="8028169E"/>
    <w:lvl w:ilvl="0" w:tplc="74C2CDD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F40BAB"/>
    <w:multiLevelType w:val="hybridMultilevel"/>
    <w:tmpl w:val="4A286CAA"/>
    <w:lvl w:ilvl="0" w:tplc="9E6E5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116F91"/>
    <w:multiLevelType w:val="hybridMultilevel"/>
    <w:tmpl w:val="CAC0CE52"/>
    <w:lvl w:ilvl="0" w:tplc="C512D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4C05"/>
    <w:multiLevelType w:val="hybridMultilevel"/>
    <w:tmpl w:val="308CF8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556E3"/>
    <w:multiLevelType w:val="hybridMultilevel"/>
    <w:tmpl w:val="F33277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6175"/>
    <w:multiLevelType w:val="hybridMultilevel"/>
    <w:tmpl w:val="1CF69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A66"/>
    <w:multiLevelType w:val="hybridMultilevel"/>
    <w:tmpl w:val="B97EC4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24"/>
    <w:rsid w:val="001715A4"/>
    <w:rsid w:val="004512B3"/>
    <w:rsid w:val="006B30F8"/>
    <w:rsid w:val="00BB3824"/>
    <w:rsid w:val="00E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ACDD"/>
  <w15:chartTrackingRefBased/>
  <w15:docId w15:val="{DD76EB38-653C-4B94-B71D-A7922EE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0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0F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4384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2020-05-22T11:46:00Z</dcterms:created>
  <dcterms:modified xsi:type="dcterms:W3CDTF">2020-05-22T12:12:00Z</dcterms:modified>
</cp:coreProperties>
</file>